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惠州市数字供销综合服务平台入驻推广合作项目</w:t>
      </w:r>
      <w:r>
        <w:rPr>
          <w:rFonts w:hint="eastAsia" w:ascii="宋体" w:hAnsi="宋体" w:eastAsia="宋体" w:cs="宋体"/>
          <w:b/>
          <w:bCs/>
          <w:sz w:val="28"/>
          <w:szCs w:val="28"/>
          <w:lang w:val="en-US" w:eastAsia="zh-CN"/>
        </w:rPr>
        <w:t>验收流程</w:t>
      </w:r>
    </w:p>
    <w:p>
      <w:pPr>
        <w:pStyle w:val="2"/>
        <w:rPr>
          <w:rFonts w:hint="eastAsia"/>
          <w:lang w:val="en-US" w:eastAsia="zh-CN"/>
        </w:rPr>
      </w:pPr>
    </w:p>
    <w:p>
      <w:pPr>
        <w:spacing w:line="60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一、统计登记：</w:t>
      </w:r>
      <w:r>
        <w:rPr>
          <w:rFonts w:hint="eastAsia" w:ascii="宋体" w:hAnsi="宋体" w:eastAsia="宋体" w:cs="宋体"/>
          <w:sz w:val="24"/>
          <w:szCs w:val="24"/>
          <w:lang w:val="en-US" w:eastAsia="zh-CN"/>
        </w:rPr>
        <w:t>合作方需按时将当月入驻并绑定惠州建设银行卡的商家信息，按照《惠州市数字供销综合服务平台商户入驻登记表》的填写要求进行统计登记，在次月5号前上报给运营方进行核验。</w:t>
      </w:r>
    </w:p>
    <w:p>
      <w:pPr>
        <w:pStyle w:val="2"/>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《惠州市数字供销综合服务平台商户入驻登记表》示例图：</w:t>
      </w:r>
    </w:p>
    <w:p>
      <w:pPr>
        <w:rPr>
          <w:rFonts w:hint="default" w:ascii="Times New Roman" w:hAnsi="Times New Roman" w:eastAsia="仿宋_GB2312"/>
          <w:sz w:val="32"/>
          <w:szCs w:val="32"/>
          <w:lang w:val="en-US" w:eastAsia="zh-CN"/>
        </w:rPr>
      </w:pPr>
      <w:r>
        <w:drawing>
          <wp:inline distT="0" distB="0" distL="114300" distR="114300">
            <wp:extent cx="9417050" cy="2644775"/>
            <wp:effectExtent l="0" t="0" r="1270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417050" cy="2644775"/>
                    </a:xfrm>
                    <a:prstGeom prst="rect">
                      <a:avLst/>
                    </a:prstGeom>
                    <a:noFill/>
                    <a:ln>
                      <a:noFill/>
                    </a:ln>
                  </pic:spPr>
                </pic:pic>
              </a:graphicData>
            </a:graphic>
          </wp:inline>
        </w:drawing>
      </w:r>
    </w:p>
    <w:p>
      <w:pPr>
        <w:pStyle w:val="2"/>
        <w:rPr>
          <w:rFonts w:hint="default" w:ascii="Times New Roman" w:hAnsi="Times New Roman" w:eastAsia="仿宋_GB2312"/>
          <w:sz w:val="32"/>
          <w:szCs w:val="32"/>
          <w:lang w:val="en-US" w:eastAsia="zh-CN"/>
        </w:rPr>
      </w:pPr>
    </w:p>
    <w:p>
      <w:pPr>
        <w:rPr>
          <w:rFonts w:hint="default" w:ascii="Times New Roman" w:hAnsi="Times New Roman" w:eastAsia="仿宋_GB2312"/>
          <w:sz w:val="32"/>
          <w:szCs w:val="32"/>
          <w:lang w:val="en-US" w:eastAsia="zh-CN"/>
        </w:rPr>
      </w:pPr>
    </w:p>
    <w:p>
      <w:pPr>
        <w:pStyle w:val="2"/>
        <w:rPr>
          <w:rFonts w:hint="default"/>
          <w:lang w:val="en-US" w:eastAsia="zh-CN"/>
        </w:rPr>
      </w:pPr>
    </w:p>
    <w:p>
      <w:pPr>
        <w:numPr>
          <w:ilvl w:val="0"/>
          <w:numId w:val="1"/>
        </w:numPr>
        <w:spacing w:line="60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双重核验：</w:t>
      </w:r>
      <w:r>
        <w:rPr>
          <w:rFonts w:hint="eastAsia" w:ascii="宋体" w:hAnsi="宋体" w:eastAsia="宋体" w:cs="宋体"/>
          <w:sz w:val="24"/>
          <w:szCs w:val="24"/>
          <w:lang w:val="en-US" w:eastAsia="zh-CN"/>
        </w:rPr>
        <w:t>为确保数据的准确性和真实性，运营方将通过惠州数字供销平台管理系统，查看合作方提交的商家银行卡信息是否为“建设银行卡”，同时运营方将导出平台商户清单，根据清单中对应商户的银行卡信息为“建设银行卡”来做进一步核对。当管理系统与平台商户清单都显示商家已入驻并成功绑定建设银行卡时，该商户被视为市场合作方的达标商户。</w:t>
      </w:r>
    </w:p>
    <w:p>
      <w:pPr>
        <w:rPr>
          <w:rFonts w:hint="eastAsia"/>
          <w:sz w:val="15"/>
          <w:szCs w:val="15"/>
          <w:lang w:val="en-US" w:eastAsia="zh-CN"/>
        </w:rPr>
      </w:pPr>
    </w:p>
    <w:p>
      <w:pPr>
        <w:rPr>
          <w:rFonts w:hint="default"/>
          <w:sz w:val="15"/>
          <w:szCs w:val="15"/>
          <w:lang w:val="en-US" w:eastAsia="zh-CN"/>
        </w:rPr>
      </w:pPr>
      <w:r>
        <w:rPr>
          <w:rFonts w:hint="eastAsia"/>
          <w:sz w:val="15"/>
          <w:szCs w:val="15"/>
          <w:lang w:val="en-US" w:eastAsia="zh-CN"/>
        </w:rPr>
        <w:t>惠州数字供销平台管理系统示例图：</w:t>
      </w:r>
    </w:p>
    <w:p>
      <w:pPr>
        <w:pStyle w:val="2"/>
        <w:rPr>
          <w:rFonts w:hint="eastAsia" w:ascii="宋体" w:hAnsi="宋体" w:eastAsia="宋体" w:cs="宋体"/>
          <w:sz w:val="24"/>
          <w:szCs w:val="24"/>
          <w:lang w:val="en-US" w:eastAsia="zh-CN"/>
        </w:rPr>
      </w:pPr>
      <w:r>
        <w:drawing>
          <wp:inline distT="0" distB="0" distL="114300" distR="114300">
            <wp:extent cx="8855075" cy="2371725"/>
            <wp:effectExtent l="0" t="0" r="31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855075" cy="2371725"/>
                    </a:xfrm>
                    <a:prstGeom prst="rect">
                      <a:avLst/>
                    </a:prstGeom>
                    <a:noFill/>
                    <a:ln>
                      <a:noFill/>
                    </a:ln>
                  </pic:spPr>
                </pic:pic>
              </a:graphicData>
            </a:graphic>
          </wp:inline>
        </w:drawing>
      </w:r>
    </w:p>
    <w:p>
      <w:pPr>
        <w:rPr>
          <w:rFonts w:hint="eastAsia"/>
          <w:lang w:val="en-US" w:eastAsia="zh-CN"/>
        </w:rPr>
      </w:pPr>
    </w:p>
    <w:p>
      <w:pPr>
        <w:rPr>
          <w:rFonts w:hint="default"/>
          <w:sz w:val="15"/>
          <w:szCs w:val="15"/>
          <w:lang w:val="en-US" w:eastAsia="zh-CN"/>
        </w:rPr>
      </w:pPr>
      <w:r>
        <w:rPr>
          <w:rFonts w:hint="eastAsia"/>
          <w:sz w:val="15"/>
          <w:szCs w:val="15"/>
          <w:lang w:val="en-US" w:eastAsia="zh-CN"/>
        </w:rPr>
        <w:t>惠州数字供销平台管理系统导出商户清单示例图：</w:t>
      </w:r>
    </w:p>
    <w:p>
      <w:pPr>
        <w:pStyle w:val="2"/>
        <w:numPr>
          <w:numId w:val="0"/>
        </w:num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drawing>
          <wp:inline distT="0" distB="0" distL="114300" distR="114300">
            <wp:extent cx="8862695" cy="1092200"/>
            <wp:effectExtent l="0" t="0" r="1460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862695" cy="1092200"/>
                    </a:xfrm>
                    <a:prstGeom prst="rect">
                      <a:avLst/>
                    </a:prstGeom>
                    <a:noFill/>
                    <a:ln>
                      <a:noFill/>
                    </a:ln>
                  </pic:spPr>
                </pic:pic>
              </a:graphicData>
            </a:graphic>
          </wp:inline>
        </w:drawing>
      </w:r>
    </w:p>
    <w:p>
      <w:pPr>
        <w:pStyle w:val="2"/>
        <w:rPr>
          <w:rFonts w:hint="eastAsia"/>
          <w:lang w:val="en-US" w:eastAsia="zh-CN"/>
        </w:rPr>
      </w:pPr>
    </w:p>
    <w:p>
      <w:pPr>
        <w:numPr>
          <w:ilvl w:val="0"/>
          <w:numId w:val="1"/>
        </w:numPr>
        <w:ind w:left="0" w:leftChars="0"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结算流程：</w:t>
      </w:r>
      <w:r>
        <w:rPr>
          <w:rFonts w:hint="eastAsia" w:ascii="宋体" w:hAnsi="宋体" w:eastAsia="宋体" w:cs="宋体"/>
          <w:sz w:val="24"/>
          <w:szCs w:val="24"/>
          <w:lang w:val="en-US" w:eastAsia="zh-CN"/>
        </w:rPr>
        <w:t>完成双重核验确认达标商户后，市场合作方需将《惠州市数字供销综合服务平台商户入驻登记表》打印并加盖公章，同时附上增值税专用发票，以上材料将作为结算依据。</w:t>
      </w:r>
    </w:p>
    <w:p>
      <w:pPr>
        <w:pStyle w:val="2"/>
        <w:numPr>
          <w:numId w:val="0"/>
        </w:numPr>
        <w:ind w:leftChars="200"/>
        <w:rPr>
          <w:rFonts w:hint="eastAsia"/>
          <w:lang w:val="en-US" w:eastAsia="zh-CN"/>
        </w:rPr>
      </w:pPr>
    </w:p>
    <w:p>
      <w:pP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示例图：</w:t>
      </w:r>
    </w:p>
    <w:p>
      <w:pPr>
        <w:pStyle w:val="2"/>
      </w:pPr>
      <w:r>
        <w:drawing>
          <wp:inline distT="0" distB="0" distL="114300" distR="114300">
            <wp:extent cx="8860155" cy="2514600"/>
            <wp:effectExtent l="0" t="0" r="1714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8860155" cy="2514600"/>
                    </a:xfrm>
                    <a:prstGeom prst="rect">
                      <a:avLst/>
                    </a:prstGeom>
                    <a:noFill/>
                    <a:ln>
                      <a:noFill/>
                    </a:ln>
                  </pic:spPr>
                </pic:pic>
              </a:graphicData>
            </a:graphic>
          </wp:inline>
        </w:drawing>
      </w:r>
    </w:p>
    <w:p>
      <w:pPr>
        <w:rPr>
          <w:rFonts w:hint="default"/>
          <w:lang w:val="en-US" w:eastAsia="zh-CN"/>
        </w:rPr>
      </w:pPr>
      <w:bookmarkStart w:id="0" w:name="_GoBack"/>
      <w:r>
        <w:drawing>
          <wp:inline distT="0" distB="0" distL="114300" distR="114300">
            <wp:extent cx="8856345" cy="6095365"/>
            <wp:effectExtent l="0" t="0" r="1905" b="6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8856345" cy="6095365"/>
                    </a:xfrm>
                    <a:prstGeom prst="rect">
                      <a:avLst/>
                    </a:prstGeom>
                    <a:noFill/>
                    <a:ln>
                      <a:noFill/>
                    </a:ln>
                  </pic:spPr>
                </pic:pic>
              </a:graphicData>
            </a:graphic>
          </wp:inline>
        </w:drawing>
      </w:r>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U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F62FE"/>
    <w:multiLevelType w:val="singleLevel"/>
    <w:tmpl w:val="F84F62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ZDA5MzFkZjU4NDhhZjc0YTE2NTM3NGM4MmNhZmEifQ=="/>
  </w:docVars>
  <w:rsids>
    <w:rsidRoot w:val="57C9032C"/>
    <w:rsid w:val="57C9032C"/>
    <w:rsid w:val="5DAE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ind w:left="120"/>
      <w:jc w:val="left"/>
    </w:pPr>
    <w:rPr>
      <w:rFonts w:ascii="Microsoft JhengHei UI" w:hAnsi="Microsoft JhengHei UI" w:eastAsia="Microsoft JhengHei UI" w:cs="Microsoft JhengHei UI"/>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2024-08-08T01:15:00Z</dcterms:created>
  <dc:creator>肖薇</dc:creator>
  <cp:lastModifiedBy>肖薇</cp:lastModifiedBy>
  <dcterms:modified xsi:type="dcterms:W3CDTF">2024-08-08T02:24:12Z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8BFA9170C0FA432095A5D148FBE5D26D_11</vt:lpwstr>
  </property>
</Properties>
</file>